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3" w:rsidRDefault="00430AC3">
      <w:pPr>
        <w:pStyle w:val="ConsPlusNormal"/>
        <w:jc w:val="right"/>
        <w:outlineLvl w:val="0"/>
      </w:pPr>
      <w:r>
        <w:t>Приложение 22</w:t>
      </w:r>
    </w:p>
    <w:p w:rsidR="00430AC3" w:rsidRDefault="00430AC3">
      <w:pPr>
        <w:pStyle w:val="ConsPlusNormal"/>
        <w:jc w:val="right"/>
      </w:pPr>
      <w:r>
        <w:t>к территориальной программе</w:t>
      </w:r>
    </w:p>
    <w:p w:rsidR="00430AC3" w:rsidRDefault="00430AC3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30AC3" w:rsidRDefault="00430AC3">
      <w:pPr>
        <w:pStyle w:val="ConsPlusNormal"/>
        <w:jc w:val="right"/>
      </w:pPr>
      <w:r>
        <w:t>оказания гражданам медицинской помощи</w:t>
      </w:r>
    </w:p>
    <w:p w:rsidR="00430AC3" w:rsidRDefault="00430AC3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430AC3" w:rsidRDefault="00430AC3">
      <w:pPr>
        <w:pStyle w:val="ConsPlusNormal"/>
        <w:jc w:val="right"/>
      </w:pPr>
      <w:r>
        <w:t>плановый период 2025 и 2026 годов,</w:t>
      </w:r>
    </w:p>
    <w:p w:rsidR="00430AC3" w:rsidRDefault="00430AC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430AC3" w:rsidRDefault="00430AC3">
      <w:pPr>
        <w:pStyle w:val="ConsPlusNormal"/>
        <w:jc w:val="right"/>
      </w:pPr>
      <w:r>
        <w:t>Правительства Республики Калмыкия</w:t>
      </w:r>
    </w:p>
    <w:p w:rsidR="00430AC3" w:rsidRDefault="00430AC3">
      <w:pPr>
        <w:pStyle w:val="ConsPlusNormal"/>
        <w:jc w:val="right"/>
      </w:pPr>
      <w:r>
        <w:t>от 31 января 2024 г. N 34</w:t>
      </w:r>
    </w:p>
    <w:p w:rsidR="00430AC3" w:rsidRDefault="00430AC3">
      <w:pPr>
        <w:pStyle w:val="ConsPlusNormal"/>
        <w:jc w:val="both"/>
      </w:pPr>
    </w:p>
    <w:p w:rsidR="00430AC3" w:rsidRDefault="00430AC3">
      <w:pPr>
        <w:pStyle w:val="ConsPlusTitle"/>
        <w:jc w:val="center"/>
      </w:pPr>
      <w:r>
        <w:t>ОБЪЕМ</w:t>
      </w:r>
    </w:p>
    <w:p w:rsidR="00430AC3" w:rsidRDefault="00430AC3">
      <w:pPr>
        <w:pStyle w:val="ConsPlusTitle"/>
        <w:jc w:val="center"/>
      </w:pPr>
      <w:r>
        <w:t>МЕДИЦИНСКОЙ ПОМОЩИ В АМБУЛАТОРНЫХ УСЛОВИЯХ, ОКАЗЫВАЕМОЙ</w:t>
      </w:r>
    </w:p>
    <w:p w:rsidR="00430AC3" w:rsidRDefault="00430AC3">
      <w:pPr>
        <w:pStyle w:val="ConsPlusTitle"/>
        <w:jc w:val="center"/>
      </w:pPr>
      <w:r>
        <w:t xml:space="preserve">С </w:t>
      </w:r>
      <w:proofErr w:type="gramStart"/>
      <w:r>
        <w:t>ПРОФИЛАКТИЧЕСКОЙ</w:t>
      </w:r>
      <w:proofErr w:type="gramEnd"/>
      <w:r>
        <w:t xml:space="preserve"> И ИНЫМИ ЦЕЛЯМИ, НА 1 ЖИТЕЛЯ/</w:t>
      </w:r>
    </w:p>
    <w:p w:rsidR="00430AC3" w:rsidRDefault="00430AC3">
      <w:pPr>
        <w:pStyle w:val="ConsPlusTitle"/>
        <w:jc w:val="center"/>
      </w:pPr>
      <w:r>
        <w:t>ЗАСТРАХОВАННОЕ ЛИЦО НА 2024 ГОД</w:t>
      </w:r>
    </w:p>
    <w:p w:rsidR="00430AC3" w:rsidRDefault="00430A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6236"/>
        <w:gridCol w:w="1993"/>
        <w:gridCol w:w="1993"/>
      </w:tblGrid>
      <w:tr w:rsidR="00430AC3">
        <w:tc>
          <w:tcPr>
            <w:tcW w:w="1134" w:type="dxa"/>
            <w:vMerge w:val="restart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236" w:type="dxa"/>
            <w:vMerge w:val="restart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3986" w:type="dxa"/>
            <w:gridSpan w:val="2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430AC3">
        <w:tc>
          <w:tcPr>
            <w:tcW w:w="1134" w:type="dxa"/>
            <w:vMerge/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Merge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Бюджетные ассигнования республиканского бюджета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 (сумма строк 2 + 3 + 4), всего,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3,095003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I. 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0,573148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II. Норматив объема комплексных посещений для проведения диспансеризации, в том числе: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0,388591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0,050758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III. Норматив посещений с иными целями (сумма строк 5 +8+ 9 + 10), в том числе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2,133264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норматив посещений для паллиативной медицинской помощи (сумма строк 6 + 7), в том числе: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1,134447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0,924566</w:t>
            </w:r>
          </w:p>
        </w:tc>
      </w:tr>
      <w:tr w:rsidR="00430AC3">
        <w:tc>
          <w:tcPr>
            <w:tcW w:w="1134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0,074228</w:t>
            </w:r>
          </w:p>
        </w:tc>
      </w:tr>
      <w:tr w:rsidR="00430AC3"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</w:tr>
      <w:tr w:rsidR="00430AC3">
        <w:tc>
          <w:tcPr>
            <w:tcW w:w="1134" w:type="dxa"/>
            <w:vMerge/>
            <w:tcBorders>
              <w:bottom w:val="nil"/>
            </w:tcBorders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объем посещений центров здоровья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0,0527</w:t>
            </w:r>
          </w:p>
        </w:tc>
      </w:tr>
      <w:tr w:rsidR="00430AC3">
        <w:tc>
          <w:tcPr>
            <w:tcW w:w="1134" w:type="dxa"/>
            <w:vMerge/>
            <w:tcBorders>
              <w:bottom w:val="nil"/>
            </w:tcBorders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0,02</w:t>
            </w:r>
          </w:p>
        </w:tc>
      </w:tr>
      <w:tr w:rsidR="00430AC3">
        <w:tc>
          <w:tcPr>
            <w:tcW w:w="1134" w:type="dxa"/>
            <w:vMerge/>
            <w:tcBorders>
              <w:bottom w:val="nil"/>
            </w:tcBorders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0,0969</w:t>
            </w:r>
          </w:p>
        </w:tc>
      </w:tr>
      <w:tr w:rsidR="00430AC3">
        <w:tc>
          <w:tcPr>
            <w:tcW w:w="1134" w:type="dxa"/>
            <w:tcBorders>
              <w:top w:val="nil"/>
            </w:tcBorders>
            <w:vAlign w:val="center"/>
          </w:tcPr>
          <w:p w:rsidR="00430AC3" w:rsidRDefault="00430AC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430AC3" w:rsidRDefault="00430AC3">
            <w:pPr>
              <w:pStyle w:val="ConsPlusNormal"/>
            </w:pPr>
            <w:r>
              <w:t>объем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0,6817</w:t>
            </w:r>
          </w:p>
        </w:tc>
        <w:tc>
          <w:tcPr>
            <w:tcW w:w="1993" w:type="dxa"/>
            <w:vAlign w:val="center"/>
          </w:tcPr>
          <w:p w:rsidR="00430AC3" w:rsidRDefault="00430AC3">
            <w:pPr>
              <w:pStyle w:val="ConsPlusNormal"/>
              <w:jc w:val="center"/>
            </w:pPr>
            <w:r>
              <w:t>0,261736</w:t>
            </w:r>
          </w:p>
        </w:tc>
      </w:tr>
    </w:tbl>
    <w:p w:rsidR="00430AC3" w:rsidRDefault="00430AC3">
      <w:pPr>
        <w:pStyle w:val="ConsPlusNormal"/>
        <w:jc w:val="both"/>
      </w:pPr>
    </w:p>
    <w:p w:rsidR="00E97CF4" w:rsidRDefault="00E97CF4"/>
    <w:sectPr w:rsidR="00E97CF4" w:rsidSect="00F66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AC3"/>
    <w:rsid w:val="00430AC3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0A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2024-02-21T11:01:00Z</dcterms:created>
  <dcterms:modified xsi:type="dcterms:W3CDTF">2024-02-21T11:01:00Z</dcterms:modified>
</cp:coreProperties>
</file>